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65" w:rsidRPr="009A507C" w:rsidRDefault="00C25D65" w:rsidP="00CF0592">
      <w:pPr>
        <w:spacing w:after="0" w:line="240" w:lineRule="auto"/>
        <w:rPr>
          <w:b/>
          <w:color w:val="002060"/>
          <w:sz w:val="26"/>
          <w:szCs w:val="26"/>
        </w:rPr>
      </w:pPr>
      <w:r w:rsidRPr="009A507C">
        <w:rPr>
          <w:b/>
          <w:color w:val="002060"/>
          <w:sz w:val="26"/>
          <w:szCs w:val="26"/>
        </w:rPr>
        <w:t xml:space="preserve">Project Title: </w:t>
      </w:r>
      <w:r w:rsidR="007F48BD" w:rsidRPr="009A507C">
        <w:rPr>
          <w:b/>
          <w:color w:val="002060"/>
          <w:sz w:val="26"/>
          <w:szCs w:val="26"/>
        </w:rPr>
        <w:t xml:space="preserve"> Google </w:t>
      </w:r>
      <w:r w:rsidR="004434D3" w:rsidRPr="009A507C">
        <w:rPr>
          <w:b/>
          <w:color w:val="002060"/>
          <w:sz w:val="26"/>
          <w:szCs w:val="26"/>
        </w:rPr>
        <w:t>App E</w:t>
      </w:r>
      <w:r w:rsidR="008C3E16" w:rsidRPr="009A507C">
        <w:rPr>
          <w:b/>
          <w:color w:val="002060"/>
          <w:sz w:val="26"/>
          <w:szCs w:val="26"/>
        </w:rPr>
        <w:t>ngine</w:t>
      </w:r>
      <w:r w:rsidR="009A507C" w:rsidRPr="009A507C">
        <w:rPr>
          <w:b/>
          <w:color w:val="002060"/>
          <w:sz w:val="26"/>
          <w:szCs w:val="26"/>
        </w:rPr>
        <w:t>:</w:t>
      </w:r>
      <w:r w:rsidR="005E13E8" w:rsidRPr="009A507C">
        <w:rPr>
          <w:b/>
          <w:color w:val="002060"/>
          <w:sz w:val="26"/>
          <w:szCs w:val="26"/>
        </w:rPr>
        <w:t xml:space="preserve"> </w:t>
      </w:r>
      <w:r w:rsidR="009A507C" w:rsidRPr="009A507C">
        <w:rPr>
          <w:b/>
          <w:color w:val="002060"/>
          <w:sz w:val="26"/>
          <w:szCs w:val="26"/>
        </w:rPr>
        <w:t xml:space="preserve">Software Benchmark </w:t>
      </w:r>
      <w:r w:rsidR="00107DEB">
        <w:rPr>
          <w:b/>
          <w:color w:val="002060"/>
          <w:sz w:val="26"/>
          <w:szCs w:val="26"/>
        </w:rPr>
        <w:t>and</w:t>
      </w:r>
      <w:r w:rsidR="008C3E16" w:rsidRPr="009A507C">
        <w:rPr>
          <w:b/>
          <w:color w:val="002060"/>
          <w:sz w:val="26"/>
          <w:szCs w:val="26"/>
        </w:rPr>
        <w:t xml:space="preserve"> </w:t>
      </w:r>
      <w:r w:rsidR="00107DEB">
        <w:rPr>
          <w:b/>
          <w:color w:val="002060"/>
          <w:sz w:val="26"/>
          <w:szCs w:val="26"/>
        </w:rPr>
        <w:t xml:space="preserve">GAE </w:t>
      </w:r>
      <w:r w:rsidR="008C3E16" w:rsidRPr="009A507C">
        <w:rPr>
          <w:b/>
          <w:color w:val="002060"/>
          <w:sz w:val="26"/>
          <w:szCs w:val="26"/>
        </w:rPr>
        <w:t>Simulation</w:t>
      </w:r>
      <w:r w:rsidR="007F48BD" w:rsidRPr="009A507C">
        <w:rPr>
          <w:b/>
          <w:color w:val="002060"/>
          <w:sz w:val="26"/>
          <w:szCs w:val="26"/>
        </w:rPr>
        <w:t xml:space="preserve"> </w:t>
      </w:r>
      <w:r w:rsidR="00506426" w:rsidRPr="009A507C">
        <w:rPr>
          <w:b/>
          <w:color w:val="002060"/>
          <w:sz w:val="26"/>
          <w:szCs w:val="26"/>
        </w:rPr>
        <w:t>Forecaster</w:t>
      </w:r>
      <w:r w:rsidR="001C0AF2" w:rsidRPr="009A507C">
        <w:rPr>
          <w:b/>
          <w:color w:val="002060"/>
          <w:sz w:val="26"/>
          <w:szCs w:val="26"/>
        </w:rPr>
        <w:t xml:space="preserve"> </w:t>
      </w:r>
    </w:p>
    <w:p w:rsidR="00C25D65" w:rsidRDefault="00C25D65" w:rsidP="00CF0592">
      <w:pPr>
        <w:spacing w:after="0" w:line="240" w:lineRule="auto"/>
        <w:rPr>
          <w:b/>
        </w:rPr>
      </w:pPr>
    </w:p>
    <w:p w:rsidR="001F0C40" w:rsidRPr="00A94BAD" w:rsidRDefault="002351F0" w:rsidP="00CF0592">
      <w:pPr>
        <w:spacing w:after="0" w:line="240" w:lineRule="auto"/>
        <w:rPr>
          <w:b/>
          <w:color w:val="00B0F0"/>
        </w:rPr>
      </w:pPr>
      <w:r w:rsidRPr="00A94BAD">
        <w:rPr>
          <w:b/>
          <w:color w:val="00B0F0"/>
        </w:rPr>
        <w:t>Pri</w:t>
      </w:r>
      <w:r w:rsidR="009A507C" w:rsidRPr="00A94BAD">
        <w:rPr>
          <w:b/>
          <w:color w:val="00B0F0"/>
        </w:rPr>
        <w:t>ncipal Investigator (PI)</w:t>
      </w:r>
      <w:r w:rsidRPr="00A94BAD">
        <w:rPr>
          <w:b/>
          <w:color w:val="00B0F0"/>
        </w:rPr>
        <w:t>:</w:t>
      </w:r>
    </w:p>
    <w:p w:rsidR="002351F0" w:rsidRDefault="002351F0" w:rsidP="00CF0592">
      <w:pPr>
        <w:spacing w:after="0" w:line="240" w:lineRule="auto"/>
      </w:pPr>
      <w:r>
        <w:t>Law</w:t>
      </w:r>
      <w:r w:rsidRPr="002351F0">
        <w:t>rence Chung</w:t>
      </w:r>
    </w:p>
    <w:p w:rsidR="005C4390" w:rsidRDefault="005C4390" w:rsidP="00CF0592">
      <w:pPr>
        <w:spacing w:after="0" w:line="240" w:lineRule="auto"/>
      </w:pPr>
      <w:r>
        <w:t>The University of Texas at Dallas</w:t>
      </w:r>
    </w:p>
    <w:p w:rsidR="005C4390" w:rsidRDefault="005C4390" w:rsidP="00CF0592">
      <w:pPr>
        <w:spacing w:after="0" w:line="240" w:lineRule="auto"/>
      </w:pPr>
      <w:r>
        <w:t>800 W. Campbell Road, Richardson, Texas 75080</w:t>
      </w:r>
    </w:p>
    <w:p w:rsidR="006C0BE8" w:rsidRPr="006C0BE8" w:rsidRDefault="006C0BE8" w:rsidP="002351F0">
      <w:pPr>
        <w:spacing w:after="0" w:line="240" w:lineRule="auto"/>
        <w:rPr>
          <w:rFonts w:cstheme="minorHAnsi"/>
        </w:rPr>
      </w:pPr>
      <w:r>
        <w:t>872-883-2178</w:t>
      </w:r>
    </w:p>
    <w:p w:rsidR="002351F0" w:rsidRDefault="00025763" w:rsidP="002351F0">
      <w:pPr>
        <w:spacing w:after="0" w:line="240" w:lineRule="auto"/>
      </w:pPr>
      <w:hyperlink r:id="rId6" w:history="1">
        <w:r w:rsidR="002351F0" w:rsidRPr="008549AD">
          <w:rPr>
            <w:rStyle w:val="Hyperlink"/>
          </w:rPr>
          <w:t>chung@utdallas.edu</w:t>
        </w:r>
      </w:hyperlink>
      <w:r w:rsidR="00E50487">
        <w:t xml:space="preserve"> </w:t>
      </w:r>
    </w:p>
    <w:p w:rsidR="00CF0592" w:rsidRDefault="00CF0592" w:rsidP="002351F0">
      <w:pPr>
        <w:spacing w:after="0" w:line="240" w:lineRule="auto"/>
      </w:pPr>
    </w:p>
    <w:p w:rsidR="00CF0592" w:rsidRPr="00A94BAD" w:rsidRDefault="00CF0592" w:rsidP="00CF0592">
      <w:pPr>
        <w:spacing w:after="0" w:line="240" w:lineRule="auto"/>
        <w:rPr>
          <w:b/>
          <w:color w:val="00B0F0"/>
        </w:rPr>
      </w:pPr>
      <w:r w:rsidRPr="00A94BAD">
        <w:rPr>
          <w:b/>
          <w:color w:val="00B0F0"/>
        </w:rPr>
        <w:t>Academic Institution:</w:t>
      </w:r>
    </w:p>
    <w:p w:rsidR="00CF0592" w:rsidRDefault="00CF0592" w:rsidP="00CF0592">
      <w:pPr>
        <w:spacing w:after="0" w:line="240" w:lineRule="auto"/>
      </w:pPr>
      <w:r>
        <w:t>The University of Texas at Dallas</w:t>
      </w:r>
    </w:p>
    <w:p w:rsidR="00CF0592" w:rsidRDefault="00CF0592" w:rsidP="00CF0592">
      <w:pPr>
        <w:spacing w:after="0" w:line="240" w:lineRule="auto"/>
      </w:pPr>
      <w:r>
        <w:t>The Erik Jonsson School of Engineering and Computer Science</w:t>
      </w:r>
    </w:p>
    <w:p w:rsidR="00CF0592" w:rsidRDefault="00CF0592" w:rsidP="00CF0592">
      <w:pPr>
        <w:spacing w:after="0" w:line="240" w:lineRule="auto"/>
      </w:pPr>
      <w:r>
        <w:t>Department of Computer Science</w:t>
      </w:r>
    </w:p>
    <w:p w:rsidR="00777000" w:rsidRDefault="00777000" w:rsidP="00CF0592">
      <w:pPr>
        <w:spacing w:after="0" w:line="240" w:lineRule="auto"/>
      </w:pPr>
    </w:p>
    <w:p w:rsidR="00CF0592" w:rsidRPr="00A403B5" w:rsidRDefault="00CF0592" w:rsidP="00CF0592">
      <w:pPr>
        <w:spacing w:after="0" w:line="240" w:lineRule="auto"/>
        <w:rPr>
          <w:b/>
          <w:color w:val="0070C0"/>
          <w:sz w:val="24"/>
        </w:rPr>
      </w:pPr>
      <w:r w:rsidRPr="00A403B5">
        <w:rPr>
          <w:b/>
          <w:color w:val="0070C0"/>
          <w:sz w:val="24"/>
        </w:rPr>
        <w:t>Research Abstract</w:t>
      </w:r>
      <w:r w:rsidR="00FC130A">
        <w:rPr>
          <w:b/>
          <w:color w:val="0070C0"/>
          <w:sz w:val="24"/>
        </w:rPr>
        <w:t xml:space="preserve"> and Goals</w:t>
      </w:r>
      <w:r w:rsidRPr="00A403B5">
        <w:rPr>
          <w:b/>
          <w:color w:val="0070C0"/>
          <w:sz w:val="24"/>
        </w:rPr>
        <w:t>:</w:t>
      </w:r>
    </w:p>
    <w:p w:rsidR="000F25C1" w:rsidRDefault="00BB59E2" w:rsidP="000F25C1">
      <w:pPr>
        <w:spacing w:after="0" w:line="240" w:lineRule="auto"/>
      </w:pPr>
      <w:r w:rsidRPr="009A507C">
        <w:t>A</w:t>
      </w:r>
      <w:r w:rsidR="005938E8" w:rsidRPr="009A507C">
        <w:t xml:space="preserve"> </w:t>
      </w:r>
      <w:r w:rsidR="009A507C" w:rsidRPr="009A507C">
        <w:t xml:space="preserve">key question </w:t>
      </w:r>
      <w:r w:rsidR="009A507C">
        <w:t xml:space="preserve">of </w:t>
      </w:r>
      <w:r w:rsidR="009A507C" w:rsidRPr="009A507C">
        <w:t xml:space="preserve">a </w:t>
      </w:r>
      <w:r w:rsidR="005938E8" w:rsidRPr="009A507C">
        <w:t>Chief Information Officer</w:t>
      </w:r>
      <w:r w:rsidR="009A507C" w:rsidRPr="009A507C">
        <w:t xml:space="preserve"> </w:t>
      </w:r>
      <w:r w:rsidR="006520FE">
        <w:t>would be what</w:t>
      </w:r>
      <w:r w:rsidR="005A3657">
        <w:t xml:space="preserve"> </w:t>
      </w:r>
      <w:r w:rsidR="006520FE">
        <w:t xml:space="preserve">the future run-time performance and continuing operating costs will be like for the particular company’s </w:t>
      </w:r>
      <w:r w:rsidR="009A507C">
        <w:t xml:space="preserve">complex business </w:t>
      </w:r>
      <w:r w:rsidR="00506426">
        <w:t>application</w:t>
      </w:r>
      <w:r w:rsidR="009A507C">
        <w:t xml:space="preserve"> so</w:t>
      </w:r>
      <w:r w:rsidR="006520FE">
        <w:t>f</w:t>
      </w:r>
      <w:r w:rsidR="009A507C">
        <w:t>tware, before deciding to migrate it to the Google App Engine</w:t>
      </w:r>
      <w:r w:rsidR="006520FE">
        <w:t xml:space="preserve"> (</w:t>
      </w:r>
      <w:r w:rsidR="006520FE" w:rsidRPr="006520FE">
        <w:rPr>
          <w:i/>
        </w:rPr>
        <w:t>GAE</w:t>
      </w:r>
      <w:r w:rsidR="006520FE">
        <w:t>)</w:t>
      </w:r>
      <w:r w:rsidR="009A507C">
        <w:t>.</w:t>
      </w:r>
      <w:r w:rsidR="005938E8">
        <w:t xml:space="preserve"> </w:t>
      </w:r>
      <w:r w:rsidR="000F25C1">
        <w:t xml:space="preserve">Similarly, the GAE </w:t>
      </w:r>
      <w:proofErr w:type="gramStart"/>
      <w:r w:rsidR="000F25C1">
        <w:t>organization  would</w:t>
      </w:r>
      <w:proofErr w:type="gramEnd"/>
      <w:r w:rsidR="000F25C1">
        <w:t xml:space="preserve"> want to estimate the GAE’s resource usage and how well the particular resource allocation will meet the performance and cost requirements, as can be found in the service level agreements (SLAs). </w:t>
      </w:r>
      <w:r w:rsidR="009A507C">
        <w:t>However, i</w:t>
      </w:r>
      <w:r w:rsidR="00425100">
        <w:t xml:space="preserve">t is </w:t>
      </w:r>
      <w:r w:rsidR="009A507C">
        <w:t xml:space="preserve">a </w:t>
      </w:r>
      <w:r w:rsidR="00425100">
        <w:t xml:space="preserve">difficult </w:t>
      </w:r>
      <w:r w:rsidR="009A507C">
        <w:t xml:space="preserve">task </w:t>
      </w:r>
      <w:r w:rsidR="00425100">
        <w:t xml:space="preserve">to </w:t>
      </w:r>
      <w:r w:rsidR="000F25C1">
        <w:t xml:space="preserve">make </w:t>
      </w:r>
      <w:r w:rsidR="00425100">
        <w:t>predict</w:t>
      </w:r>
      <w:r w:rsidR="000F25C1">
        <w:t xml:space="preserve">ions about </w:t>
      </w:r>
      <w:r w:rsidR="009A507C">
        <w:t>the</w:t>
      </w:r>
      <w:r w:rsidR="00425100">
        <w:t xml:space="preserve"> software </w:t>
      </w:r>
      <w:r w:rsidR="000F25C1">
        <w:t>when it</w:t>
      </w:r>
      <w:r w:rsidR="009A507C">
        <w:t xml:space="preserve"> operate</w:t>
      </w:r>
      <w:r w:rsidR="000F25C1">
        <w:t>s</w:t>
      </w:r>
      <w:r w:rsidR="00425100">
        <w:t xml:space="preserve"> in a new </w:t>
      </w:r>
      <w:r w:rsidR="00A65F6C">
        <w:t xml:space="preserve">environment. </w:t>
      </w:r>
      <w:r w:rsidR="005C5520">
        <w:t>T</w:t>
      </w:r>
      <w:r w:rsidR="000F25C1">
        <w:t xml:space="preserve">his research project </w:t>
      </w:r>
      <w:r w:rsidR="005C5520">
        <w:t>aims</w:t>
      </w:r>
      <w:r w:rsidR="000F25C1">
        <w:t xml:space="preserve"> to </w:t>
      </w:r>
      <w:r w:rsidR="00A94BAD">
        <w:t>develop</w:t>
      </w:r>
      <w:r w:rsidR="00A34809">
        <w:t xml:space="preserve"> a</w:t>
      </w:r>
      <w:r w:rsidR="00A94BAD">
        <w:t xml:space="preserve"> </w:t>
      </w:r>
      <w:r w:rsidR="00A94BAD" w:rsidRPr="00A94BAD">
        <w:rPr>
          <w:i/>
        </w:rPr>
        <w:t>GAE simulation forecaster</w:t>
      </w:r>
      <w:r w:rsidR="00A94BAD">
        <w:t xml:space="preserve"> </w:t>
      </w:r>
      <w:proofErr w:type="gramStart"/>
      <w:r w:rsidR="00A94BAD">
        <w:t>-  a</w:t>
      </w:r>
      <w:proofErr w:type="gramEnd"/>
      <w:r w:rsidR="00A94BAD">
        <w:t xml:space="preserve"> </w:t>
      </w:r>
      <w:r w:rsidR="005C5520">
        <w:t xml:space="preserve">tool for estimating the performance and cost of software operating on the GAE, by extending an open source cloud simulation tool-kit </w:t>
      </w:r>
      <w:r w:rsidR="005C5520" w:rsidRPr="000A14D9">
        <w:t xml:space="preserve">(The University of Melbourne’s </w:t>
      </w:r>
      <w:proofErr w:type="spellStart"/>
      <w:r w:rsidR="005C5520" w:rsidRPr="000A14D9">
        <w:t>CloudSim</w:t>
      </w:r>
      <w:proofErr w:type="spellEnd"/>
      <w:r w:rsidR="005C5520">
        <w:t xml:space="preserve"> </w:t>
      </w:r>
      <w:r w:rsidR="005C5520" w:rsidRPr="000F25C1">
        <w:t xml:space="preserve">or </w:t>
      </w:r>
      <w:proofErr w:type="spellStart"/>
      <w:r w:rsidR="005C5520" w:rsidRPr="000F25C1">
        <w:t>icancloudsim.org’s</w:t>
      </w:r>
      <w:proofErr w:type="spellEnd"/>
      <w:r w:rsidR="005C5520" w:rsidRPr="000F25C1">
        <w:t xml:space="preserve"> </w:t>
      </w:r>
      <w:proofErr w:type="spellStart"/>
      <w:r w:rsidR="005C5520" w:rsidRPr="000F25C1">
        <w:t>iCanCloud</w:t>
      </w:r>
      <w:proofErr w:type="spellEnd"/>
      <w:r w:rsidR="005C5520" w:rsidRPr="000A14D9">
        <w:t>),</w:t>
      </w:r>
      <w:r w:rsidR="005C5520">
        <w:t xml:space="preserve"> and produce some </w:t>
      </w:r>
      <w:r w:rsidR="00A94BAD">
        <w:t xml:space="preserve">important </w:t>
      </w:r>
      <w:r w:rsidR="00FC130A">
        <w:t xml:space="preserve">operational </w:t>
      </w:r>
      <w:r w:rsidR="005C5520">
        <w:t>benchmark</w:t>
      </w:r>
      <w:r w:rsidR="00FC130A">
        <w:t xml:space="preserve"> on the extension of the “Billing and Budgeting Resources” function of the current GAE</w:t>
      </w:r>
      <w:r w:rsidR="005C5520">
        <w:t>.</w:t>
      </w:r>
    </w:p>
    <w:p w:rsidR="00E911FD" w:rsidRDefault="00E911FD" w:rsidP="00FC04EB">
      <w:pPr>
        <w:pStyle w:val="ListParagraph"/>
        <w:spacing w:after="0" w:line="240" w:lineRule="auto"/>
        <w:ind w:left="1080"/>
      </w:pPr>
    </w:p>
    <w:p w:rsidR="00F548C9" w:rsidRPr="00FC130A" w:rsidRDefault="00C25D65" w:rsidP="00CF0592">
      <w:pPr>
        <w:spacing w:after="0" w:line="240" w:lineRule="auto"/>
        <w:rPr>
          <w:b/>
          <w:color w:val="0070C0"/>
          <w:sz w:val="24"/>
        </w:rPr>
      </w:pPr>
      <w:r w:rsidRPr="00FC130A">
        <w:rPr>
          <w:b/>
          <w:color w:val="0070C0"/>
          <w:sz w:val="24"/>
        </w:rPr>
        <w:t>Project Description</w:t>
      </w:r>
      <w:r w:rsidR="00CF0592" w:rsidRPr="00FC130A">
        <w:rPr>
          <w:b/>
          <w:color w:val="0070C0"/>
          <w:sz w:val="24"/>
        </w:rPr>
        <w:t>:</w:t>
      </w:r>
    </w:p>
    <w:p w:rsidR="008A4C58" w:rsidRDefault="00FC130A" w:rsidP="00F548C9">
      <w:pPr>
        <w:spacing w:after="0" w:line="240" w:lineRule="auto"/>
      </w:pPr>
      <w:r>
        <w:t>It is often times</w:t>
      </w:r>
      <w:r w:rsidR="00A13DF0">
        <w:t xml:space="preserve"> difficult to estimate the performance and cost of software applications in the cloud</w:t>
      </w:r>
      <w:r w:rsidR="00010D94">
        <w:t>, including the Google App Engine</w:t>
      </w:r>
      <w:r w:rsidR="008A4C58">
        <w:t xml:space="preserve"> (</w:t>
      </w:r>
      <w:r w:rsidR="00253066" w:rsidRPr="00010D94">
        <w:rPr>
          <w:i/>
        </w:rPr>
        <w:t>GAE</w:t>
      </w:r>
      <w:r w:rsidR="00253066">
        <w:t>)</w:t>
      </w:r>
      <w:r w:rsidR="00010D94">
        <w:t>,</w:t>
      </w:r>
      <w:r w:rsidR="00D3018D">
        <w:t xml:space="preserve"> and how best </w:t>
      </w:r>
      <w:proofErr w:type="gramStart"/>
      <w:r w:rsidR="00D3018D">
        <w:t>allocate</w:t>
      </w:r>
      <w:proofErr w:type="gramEnd"/>
      <w:r w:rsidR="00D3018D">
        <w:t xml:space="preserve"> resources to meet the performance and cost requirements, as specified in the service level agreements (SLAs). This difficulty can be an inhibiting factor when adopting</w:t>
      </w:r>
      <w:r w:rsidR="00253066">
        <w:t xml:space="preserve"> the clo</w:t>
      </w:r>
      <w:r w:rsidR="00D3018D">
        <w:t>ud</w:t>
      </w:r>
      <w:r w:rsidR="00253066">
        <w:t xml:space="preserve"> as a </w:t>
      </w:r>
      <w:r w:rsidR="008A4C58">
        <w:t xml:space="preserve">preferred </w:t>
      </w:r>
      <w:r w:rsidR="00253066">
        <w:t xml:space="preserve">model </w:t>
      </w:r>
      <w:r w:rsidR="00D3018D">
        <w:t xml:space="preserve">of computing and delivery </w:t>
      </w:r>
      <w:r w:rsidR="00253066">
        <w:t xml:space="preserve">for many complex software applications. </w:t>
      </w:r>
    </w:p>
    <w:p w:rsidR="008A4C58" w:rsidRDefault="008A4C58" w:rsidP="00F548C9">
      <w:pPr>
        <w:spacing w:after="0" w:line="240" w:lineRule="auto"/>
      </w:pPr>
    </w:p>
    <w:p w:rsidR="002F333B" w:rsidRDefault="00A34809" w:rsidP="00F548C9">
      <w:pPr>
        <w:spacing w:after="0" w:line="240" w:lineRule="auto"/>
      </w:pPr>
      <w:r>
        <w:t>Since the early 1990s, in an effort to reduce risk, enterprise-level CIOs, a</w:t>
      </w:r>
      <w:r w:rsidR="00584D73">
        <w:t xml:space="preserve">pplication developers and application migration specialists have used an online application transaction processing </w:t>
      </w:r>
      <w:r w:rsidR="00584D73" w:rsidRPr="00901F9F">
        <w:t>benchmark</w:t>
      </w:r>
      <w:r w:rsidR="00584D73">
        <w:t xml:space="preserve"> (The </w:t>
      </w:r>
      <w:r w:rsidR="00584D73" w:rsidRPr="003C1352">
        <w:rPr>
          <w:i/>
        </w:rPr>
        <w:t>Transaction Processing Council’s</w:t>
      </w:r>
      <w:r w:rsidR="00584D73">
        <w:rPr>
          <w:i/>
        </w:rPr>
        <w:t xml:space="preserve"> [TPC]</w:t>
      </w:r>
      <w:r w:rsidR="00584D73">
        <w:t xml:space="preserve"> OLTP benchmark “C-New Order </w:t>
      </w:r>
      <w:r w:rsidR="008A4C58">
        <w:t>Business Function</w:t>
      </w:r>
      <w:r w:rsidR="00584D73">
        <w:t>”</w:t>
      </w:r>
      <w:r w:rsidR="00010D94">
        <w:t xml:space="preserve"> – an industry standard</w:t>
      </w:r>
      <w:r w:rsidR="00584D73">
        <w:t xml:space="preserve">) </w:t>
      </w:r>
      <w:r>
        <w:t xml:space="preserve">and simulation results </w:t>
      </w:r>
      <w:r w:rsidR="00584D73">
        <w:t xml:space="preserve">to gauge the performance and costs of future applications prior to development or migration of applications. Over two-hundred </w:t>
      </w:r>
      <w:r w:rsidR="008A4C58">
        <w:t xml:space="preserve">independently audited </w:t>
      </w:r>
      <w:r w:rsidR="00584D73">
        <w:t>TPC-C results are posted</w:t>
      </w:r>
      <w:r w:rsidR="008A4C58">
        <w:t xml:space="preserve"> on the Council’s web site (</w:t>
      </w:r>
      <w:hyperlink r:id="rId7" w:history="1">
        <w:r w:rsidR="008A4C58" w:rsidRPr="005309CB">
          <w:rPr>
            <w:rStyle w:val="Hyperlink"/>
          </w:rPr>
          <w:t>www.tpc.org</w:t>
        </w:r>
      </w:hyperlink>
      <w:r w:rsidR="008A4C58">
        <w:t>). The benchmark measures</w:t>
      </w:r>
      <w:r w:rsidR="00F679C0">
        <w:t xml:space="preserve"> a complex “New Order” business function’s throughput, response time, total software cost and total hardware cost.</w:t>
      </w:r>
      <w:r w:rsidR="008A4C58">
        <w:t xml:space="preserve"> </w:t>
      </w:r>
      <w:r w:rsidR="006D088C">
        <w:t xml:space="preserve">The </w:t>
      </w:r>
      <w:r w:rsidR="006D088C" w:rsidRPr="00010D94">
        <w:t>benchmark</w:t>
      </w:r>
      <w:r w:rsidR="006D088C">
        <w:t xml:space="preserve"> </w:t>
      </w:r>
      <w:r w:rsidR="00A13FB7">
        <w:t xml:space="preserve">result </w:t>
      </w:r>
      <w:r w:rsidR="006D088C">
        <w:t xml:space="preserve">configurations range from 1 server CPU to </w:t>
      </w:r>
      <w:r w:rsidR="00C775FD">
        <w:t xml:space="preserve">108 server CPUs. </w:t>
      </w:r>
      <w:r w:rsidR="006D088C">
        <w:t>The business function (transaction) throughput ranges from 9,347 transactions per minute to 30,249,688 transactions per minute</w:t>
      </w:r>
      <w:r w:rsidR="00010D94">
        <w:t>,</w:t>
      </w:r>
      <w:r w:rsidR="006D088C">
        <w:t xml:space="preserve"> with a three-year </w:t>
      </w:r>
      <w:r w:rsidR="00C775FD">
        <w:t xml:space="preserve">total </w:t>
      </w:r>
      <w:r w:rsidR="006D088C">
        <w:t xml:space="preserve">cost </w:t>
      </w:r>
      <w:r w:rsidR="006C384C">
        <w:t xml:space="preserve">of ownership (purchase and maintenance) </w:t>
      </w:r>
      <w:r w:rsidR="00010D94">
        <w:t>ranging</w:t>
      </w:r>
      <w:r w:rsidR="006D088C">
        <w:t xml:space="preserve"> from</w:t>
      </w:r>
      <w:r w:rsidR="00C775FD">
        <w:t xml:space="preserve"> $17,549 to $30,528,863.</w:t>
      </w:r>
      <w:r w:rsidR="006D088C">
        <w:t xml:space="preserve"> </w:t>
      </w:r>
      <w:r w:rsidR="00C0310B">
        <w:t xml:space="preserve">Additionally, the TPC-C results database contains all the source code required to implement the benchmark. </w:t>
      </w:r>
      <w:r w:rsidR="00ED3D36">
        <w:t xml:space="preserve">Since 1992 </w:t>
      </w:r>
      <w:r w:rsidR="006C384C">
        <w:t xml:space="preserve">CIOs </w:t>
      </w:r>
      <w:r w:rsidR="006028B8" w:rsidRPr="00010D94">
        <w:t>and datacenter providers</w:t>
      </w:r>
      <w:r w:rsidR="006028B8">
        <w:t xml:space="preserve"> </w:t>
      </w:r>
      <w:r w:rsidR="002F333B">
        <w:t xml:space="preserve">have </w:t>
      </w:r>
      <w:r w:rsidR="007902A4">
        <w:t>search</w:t>
      </w:r>
      <w:r w:rsidR="002F333B">
        <w:t>ed</w:t>
      </w:r>
      <w:r w:rsidR="006C384C">
        <w:t xml:space="preserve"> </w:t>
      </w:r>
      <w:r w:rsidR="007902A4">
        <w:t xml:space="preserve">the benchmark </w:t>
      </w:r>
      <w:r w:rsidR="007902A4">
        <w:lastRenderedPageBreak/>
        <w:t xml:space="preserve">results </w:t>
      </w:r>
      <w:r w:rsidR="00ED3D36">
        <w:t xml:space="preserve">database </w:t>
      </w:r>
      <w:r w:rsidR="007902A4">
        <w:t xml:space="preserve">to locate </w:t>
      </w:r>
      <w:r w:rsidR="00ED3D36">
        <w:t>hardware and software with comparable</w:t>
      </w:r>
      <w:r w:rsidR="007902A4">
        <w:t xml:space="preserve"> </w:t>
      </w:r>
      <w:r w:rsidR="00ED3D36">
        <w:t xml:space="preserve">provable application </w:t>
      </w:r>
      <w:r w:rsidR="002F333B">
        <w:t>performance</w:t>
      </w:r>
      <w:r w:rsidR="00C0310B">
        <w:t xml:space="preserve"> outcomes</w:t>
      </w:r>
      <w:r w:rsidR="007902A4">
        <w:t xml:space="preserve"> </w:t>
      </w:r>
      <w:r w:rsidR="00ED3D36">
        <w:t xml:space="preserve">to find the hardware and software to purchase </w:t>
      </w:r>
      <w:r w:rsidR="002F333B">
        <w:t>at a specified</w:t>
      </w:r>
      <w:r w:rsidR="00ED3D36">
        <w:t xml:space="preserve"> total </w:t>
      </w:r>
      <w:r w:rsidR="002F333B">
        <w:t>cost</w:t>
      </w:r>
      <w:r w:rsidR="00ED3D36">
        <w:t xml:space="preserve"> of ownership.</w:t>
      </w:r>
    </w:p>
    <w:p w:rsidR="002F333B" w:rsidRDefault="002F333B" w:rsidP="00F548C9">
      <w:pPr>
        <w:spacing w:after="0" w:line="240" w:lineRule="auto"/>
      </w:pPr>
    </w:p>
    <w:p w:rsidR="00071218" w:rsidRDefault="00C0310B" w:rsidP="00F548C9">
      <w:pPr>
        <w:spacing w:after="0" w:line="240" w:lineRule="auto"/>
      </w:pPr>
      <w:r>
        <w:t xml:space="preserve">The first half of </w:t>
      </w:r>
      <w:r w:rsidR="00010D94">
        <w:t>this</w:t>
      </w:r>
      <w:r w:rsidR="002F333B">
        <w:t xml:space="preserve"> research project extends and implements the TPC-C </w:t>
      </w:r>
      <w:r>
        <w:t xml:space="preserve">complex business function </w:t>
      </w:r>
      <w:r w:rsidR="002F333B" w:rsidRPr="00010D94">
        <w:t>benchmark</w:t>
      </w:r>
      <w:r w:rsidR="002F333B">
        <w:t xml:space="preserve"> to operate under the </w:t>
      </w:r>
      <w:r w:rsidR="00010D94">
        <w:t>GAE</w:t>
      </w:r>
      <w:r w:rsidR="002F333B">
        <w:t xml:space="preserve">. </w:t>
      </w:r>
      <w:r w:rsidR="00262987">
        <w:t xml:space="preserve">The design and implementation of </w:t>
      </w:r>
      <w:r w:rsidR="00924A68">
        <w:t xml:space="preserve">the </w:t>
      </w:r>
      <w:r w:rsidR="00262987">
        <w:t>extensions include</w:t>
      </w:r>
      <w:r w:rsidR="00010D94">
        <w:t>s the capability to</w:t>
      </w:r>
      <w:r w:rsidR="00757AD8">
        <w:t>:</w:t>
      </w:r>
      <w:r w:rsidR="00010D94">
        <w:t xml:space="preserve"> </w:t>
      </w:r>
      <w:r w:rsidR="00924A68">
        <w:t xml:space="preserve">vary the </w:t>
      </w:r>
      <w:r w:rsidR="00010D94">
        <w:t xml:space="preserve">size of the benchmark database, </w:t>
      </w:r>
      <w:r w:rsidR="0084326B">
        <w:t>alter</w:t>
      </w:r>
      <w:r w:rsidR="00924A68">
        <w:t xml:space="preserve"> the number of users and modify the c</w:t>
      </w:r>
      <w:r w:rsidR="0084326B">
        <w:t xml:space="preserve">omplexity of the </w:t>
      </w:r>
      <w:r w:rsidR="0018043F">
        <w:t xml:space="preserve">standard </w:t>
      </w:r>
      <w:r w:rsidR="0084326B">
        <w:t>benchmark application</w:t>
      </w:r>
      <w:r w:rsidR="00924A68">
        <w:t>.</w:t>
      </w:r>
      <w:r w:rsidR="002F333B">
        <w:t xml:space="preserve"> </w:t>
      </w:r>
      <w:r w:rsidR="0084326B">
        <w:t xml:space="preserve">The major benchmark extension involves the collection and reporting of GAE performance and pricing metrics. </w:t>
      </w:r>
      <w:r w:rsidR="0018043F">
        <w:t xml:space="preserve"> Sample </w:t>
      </w:r>
      <w:r w:rsidR="00010D94">
        <w:t>benchmark reports are shown as F</w:t>
      </w:r>
      <w:r w:rsidR="0018043F">
        <w:t xml:space="preserve">igures 2, 3 and 4 in the expected outcomes section below. </w:t>
      </w:r>
      <w:r w:rsidR="00403641">
        <w:t>The majority of the award App Engine credits (estimated to be 2</w:t>
      </w:r>
      <w:r w:rsidR="0085294D">
        <w:t>5</w:t>
      </w:r>
      <w:r w:rsidR="00403641">
        <w:t>,000) will be used to execute tests of the benchmark with multiple parameter variations to find the breakpoints or knee-points when plotting performance and cost data points.</w:t>
      </w:r>
      <w:r w:rsidR="00071218">
        <w:t xml:space="preserve"> </w:t>
      </w:r>
    </w:p>
    <w:p w:rsidR="00010D94" w:rsidRDefault="00010D94" w:rsidP="00F548C9">
      <w:pPr>
        <w:spacing w:after="0" w:line="240" w:lineRule="auto"/>
      </w:pPr>
    </w:p>
    <w:p w:rsidR="00757AD8" w:rsidRDefault="00071218" w:rsidP="00CD5A27">
      <w:pPr>
        <w:spacing w:after="0" w:line="240" w:lineRule="auto"/>
      </w:pPr>
      <w:r>
        <w:t xml:space="preserve">All </w:t>
      </w:r>
      <w:r w:rsidRPr="0002376E">
        <w:t xml:space="preserve">benchmark </w:t>
      </w:r>
      <w:r>
        <w:t xml:space="preserve">data points will be retained to be used to verify the results of the second half of the research project, the extension of </w:t>
      </w:r>
      <w:proofErr w:type="spellStart"/>
      <w:r w:rsidR="00F230FE" w:rsidRPr="000A14D9">
        <w:t>CloudSim</w:t>
      </w:r>
      <w:proofErr w:type="spellEnd"/>
      <w:r>
        <w:t xml:space="preserve"> </w:t>
      </w:r>
      <w:r w:rsidR="00A34809">
        <w:t>(and</w:t>
      </w:r>
      <w:r w:rsidR="00010D94">
        <w:t xml:space="preserve"> possibly </w:t>
      </w:r>
      <w:proofErr w:type="spellStart"/>
      <w:r w:rsidR="00010D94" w:rsidRPr="000F25C1">
        <w:t>iCanCloud</w:t>
      </w:r>
      <w:proofErr w:type="spellEnd"/>
      <w:r w:rsidR="00010D94">
        <w:t xml:space="preserve">) </w:t>
      </w:r>
      <w:r>
        <w:t>to b</w:t>
      </w:r>
      <w:r w:rsidR="0002376E">
        <w:t>uild</w:t>
      </w:r>
      <w:r>
        <w:t xml:space="preserve"> </w:t>
      </w:r>
      <w:r w:rsidR="00010D94">
        <w:t>a</w:t>
      </w:r>
      <w:r w:rsidR="0002376E">
        <w:t xml:space="preserve"> </w:t>
      </w:r>
      <w:r w:rsidR="0002376E" w:rsidRPr="00010D94">
        <w:t xml:space="preserve">GAE </w:t>
      </w:r>
      <w:r w:rsidR="006028B8" w:rsidRPr="00010D94">
        <w:t>s</w:t>
      </w:r>
      <w:r w:rsidR="0002376E" w:rsidRPr="00010D94">
        <w:t xml:space="preserve">imulation </w:t>
      </w:r>
      <w:r w:rsidR="006028B8" w:rsidRPr="00010D94">
        <w:t>f</w:t>
      </w:r>
      <w:r w:rsidR="0002376E" w:rsidRPr="00010D94">
        <w:t>orecaster</w:t>
      </w:r>
      <w:r w:rsidR="0002376E">
        <w:t>.</w:t>
      </w:r>
      <w:r>
        <w:t xml:space="preserve"> </w:t>
      </w:r>
      <w:r w:rsidR="00010D94">
        <w:t>We will draw on o</w:t>
      </w:r>
      <w:r w:rsidR="00F230FE" w:rsidRPr="000A14D9">
        <w:t xml:space="preserve">ur research team’s experience with CloudSim, Google Apps and </w:t>
      </w:r>
      <w:r w:rsidR="00ED3FBD" w:rsidRPr="000A14D9">
        <w:t>simulation-</w:t>
      </w:r>
      <w:r w:rsidR="00010D94">
        <w:t>related</w:t>
      </w:r>
      <w:r w:rsidR="00ED3FBD" w:rsidRPr="000A14D9">
        <w:t xml:space="preserve"> genetic algorithms </w:t>
      </w:r>
      <w:r w:rsidR="00010D94">
        <w:t>in</w:t>
      </w:r>
      <w:r w:rsidR="00ED3FBD" w:rsidRPr="000A14D9">
        <w:t xml:space="preserve"> build</w:t>
      </w:r>
      <w:r w:rsidR="00010D94">
        <w:t>ing the</w:t>
      </w:r>
      <w:r w:rsidR="00ED3FBD" w:rsidRPr="000A14D9">
        <w:t xml:space="preserve"> GAE </w:t>
      </w:r>
      <w:r w:rsidR="006028B8">
        <w:t>s</w:t>
      </w:r>
      <w:r w:rsidR="00ED3FBD" w:rsidRPr="000A14D9">
        <w:t xml:space="preserve">imulation </w:t>
      </w:r>
      <w:r w:rsidR="006028B8">
        <w:t>f</w:t>
      </w:r>
      <w:r w:rsidR="00ED3FBD" w:rsidRPr="000A14D9">
        <w:t>orecaster.</w:t>
      </w:r>
      <w:r w:rsidR="00F230FE" w:rsidRPr="000A14D9">
        <w:t xml:space="preserve"> </w:t>
      </w:r>
      <w:r w:rsidR="0002376E" w:rsidRPr="000A14D9">
        <w:t xml:space="preserve">The GAE </w:t>
      </w:r>
      <w:r w:rsidR="006028B8">
        <w:t>s</w:t>
      </w:r>
      <w:r w:rsidR="0002376E" w:rsidRPr="000A14D9">
        <w:t xml:space="preserve">imulation </w:t>
      </w:r>
      <w:r w:rsidR="006028B8">
        <w:t>f</w:t>
      </w:r>
      <w:r w:rsidR="0002376E" w:rsidRPr="000A14D9">
        <w:t>orecaster will be</w:t>
      </w:r>
      <w:r w:rsidR="0002376E">
        <w:t xml:space="preserve"> deemed to operate properly if it produces similar</w:t>
      </w:r>
      <w:r w:rsidR="00453E6C">
        <w:t xml:space="preserve"> (one for one)</w:t>
      </w:r>
      <w:r w:rsidR="0002376E">
        <w:t xml:space="preserve"> results </w:t>
      </w:r>
      <w:r w:rsidR="005900DB">
        <w:t>for</w:t>
      </w:r>
      <w:r w:rsidR="0002376E">
        <w:t xml:space="preserve"> each </w:t>
      </w:r>
      <w:r w:rsidR="00453E6C">
        <w:t xml:space="preserve">set of </w:t>
      </w:r>
      <w:r w:rsidR="0002376E">
        <w:t>benchmark execution</w:t>
      </w:r>
      <w:r w:rsidR="00B468A6">
        <w:t xml:space="preserve"> </w:t>
      </w:r>
      <w:r w:rsidR="00453E6C">
        <w:t>outcomes</w:t>
      </w:r>
      <w:r w:rsidR="0002376E">
        <w:t>.</w:t>
      </w:r>
    </w:p>
    <w:p w:rsidR="00CD5A27" w:rsidRDefault="005900DB" w:rsidP="00CD5A27">
      <w:pPr>
        <w:spacing w:after="0" w:line="240" w:lineRule="auto"/>
      </w:pPr>
      <w:r>
        <w:t xml:space="preserve"> </w:t>
      </w:r>
    </w:p>
    <w:p w:rsidR="00CD5A27" w:rsidRDefault="00CD5A27" w:rsidP="00CD5A27">
      <w:pPr>
        <w:spacing w:after="0" w:line="240" w:lineRule="auto"/>
      </w:pPr>
      <w:r>
        <w:t xml:space="preserve">The design and implementation of the </w:t>
      </w:r>
      <w:r w:rsidRPr="00757AD8">
        <w:t xml:space="preserve">GAE </w:t>
      </w:r>
      <w:r w:rsidR="006028B8" w:rsidRPr="00757AD8">
        <w:t>s</w:t>
      </w:r>
      <w:r w:rsidRPr="00757AD8">
        <w:t xml:space="preserve">imulation </w:t>
      </w:r>
      <w:r w:rsidR="006028B8" w:rsidRPr="00757AD8">
        <w:t>f</w:t>
      </w:r>
      <w:r w:rsidRPr="00757AD8">
        <w:t>orecaster</w:t>
      </w:r>
      <w:r>
        <w:t xml:space="preserve"> includes the capability to generate the following simulation input parameters: database size, number of users, and application complexity. The major </w:t>
      </w:r>
      <w:r w:rsidR="0085294D">
        <w:t>simulation</w:t>
      </w:r>
      <w:r>
        <w:t xml:space="preserve"> extension involves the </w:t>
      </w:r>
      <w:r w:rsidR="0085294D">
        <w:t>ability to accept G</w:t>
      </w:r>
      <w:r w:rsidR="00757AD8">
        <w:t>AE metrics and pricing elements</w:t>
      </w:r>
      <w:r>
        <w:t xml:space="preserve">.  </w:t>
      </w:r>
      <w:r w:rsidR="0085294D">
        <w:t>A s</w:t>
      </w:r>
      <w:r>
        <w:t xml:space="preserve">ample </w:t>
      </w:r>
      <w:r w:rsidR="0085294D">
        <w:t>of one of the simulation</w:t>
      </w:r>
      <w:r>
        <w:t xml:space="preserve"> </w:t>
      </w:r>
      <w:r w:rsidR="00757AD8">
        <w:t>reports is shown as F</w:t>
      </w:r>
      <w:r w:rsidR="0085294D">
        <w:t>igure</w:t>
      </w:r>
      <w:r>
        <w:t xml:space="preserve"> </w:t>
      </w:r>
      <w:r w:rsidR="0085294D">
        <w:t>5</w:t>
      </w:r>
      <w:r>
        <w:t xml:space="preserve"> in the expected outcomes section below. The majority of the award App Engine credits (estimated to be 20,000) will be used to </w:t>
      </w:r>
      <w:r w:rsidR="0085294D">
        <w:t>verify the results of each simulation.</w:t>
      </w:r>
      <w:r>
        <w:t xml:space="preserve"> </w:t>
      </w:r>
    </w:p>
    <w:p w:rsidR="00B076EB" w:rsidRDefault="00B076EB" w:rsidP="00C25D65">
      <w:pPr>
        <w:spacing w:after="0" w:line="240" w:lineRule="auto"/>
        <w:rPr>
          <w:rFonts w:ascii="Arial" w:hAnsi="Arial" w:cs="Arial"/>
          <w:color w:val="444444"/>
          <w:sz w:val="18"/>
          <w:szCs w:val="18"/>
          <w:shd w:val="clear" w:color="auto" w:fill="FFFFFF"/>
        </w:rPr>
      </w:pPr>
    </w:p>
    <w:p w:rsidR="008C3E16" w:rsidRPr="00757AD8" w:rsidRDefault="008C3E16" w:rsidP="008C3E16">
      <w:pPr>
        <w:spacing w:after="0" w:line="240" w:lineRule="auto"/>
        <w:rPr>
          <w:b/>
          <w:color w:val="0070C0"/>
          <w:sz w:val="24"/>
        </w:rPr>
      </w:pPr>
      <w:r w:rsidRPr="00757AD8">
        <w:rPr>
          <w:b/>
          <w:color w:val="0070C0"/>
          <w:sz w:val="24"/>
        </w:rPr>
        <w:t>Project Plan and Timeline:</w:t>
      </w:r>
    </w:p>
    <w:p w:rsidR="008C3E16" w:rsidRDefault="005900DB" w:rsidP="00C25D65">
      <w:pPr>
        <w:spacing w:after="0" w:line="240" w:lineRule="auto"/>
      </w:pPr>
      <w:r>
        <w:t>T</w:t>
      </w:r>
      <w:r w:rsidR="00C25D65">
        <w:t xml:space="preserve">he general plan of work </w:t>
      </w:r>
      <w:r w:rsidR="00A34809">
        <w:t>is outlined below in Figure 1. Three major tasks are</w:t>
      </w:r>
      <w:r>
        <w:t xml:space="preserve">: </w:t>
      </w:r>
      <w:r w:rsidRPr="00A34809">
        <w:rPr>
          <w:b/>
          <w:color w:val="FF0000"/>
        </w:rPr>
        <w:t>(1-</w:t>
      </w:r>
      <w:r w:rsidR="000A14D9" w:rsidRPr="00A34809">
        <w:rPr>
          <w:b/>
          <w:color w:val="FF0000"/>
        </w:rPr>
        <w:t>4</w:t>
      </w:r>
      <w:r w:rsidRPr="00A34809">
        <w:rPr>
          <w:b/>
          <w:color w:val="FF0000"/>
        </w:rPr>
        <w:t>)</w:t>
      </w:r>
      <w:r>
        <w:t xml:space="preserve"> </w:t>
      </w:r>
      <w:proofErr w:type="gramStart"/>
      <w:r>
        <w:t>Extend</w:t>
      </w:r>
      <w:proofErr w:type="gramEnd"/>
      <w:r>
        <w:t xml:space="preserve"> the Complex Business Function Benchmark [TPC] to Google App Engine</w:t>
      </w:r>
      <w:r w:rsidR="00A34809">
        <w:t>;</w:t>
      </w:r>
      <w:r w:rsidR="0085294D">
        <w:t xml:space="preserve"> </w:t>
      </w:r>
      <w:r w:rsidR="00494075" w:rsidRPr="007D6041">
        <w:rPr>
          <w:b/>
          <w:color w:val="3333FF"/>
        </w:rPr>
        <w:t>(</w:t>
      </w:r>
      <w:r w:rsidR="000A14D9" w:rsidRPr="007D6041">
        <w:rPr>
          <w:b/>
          <w:color w:val="3333FF"/>
        </w:rPr>
        <w:t>5</w:t>
      </w:r>
      <w:r w:rsidR="00494075" w:rsidRPr="007D6041">
        <w:rPr>
          <w:b/>
          <w:color w:val="3333FF"/>
        </w:rPr>
        <w:t>-</w:t>
      </w:r>
      <w:r w:rsidR="000A14D9" w:rsidRPr="007D6041">
        <w:rPr>
          <w:b/>
          <w:color w:val="3333FF"/>
        </w:rPr>
        <w:t>9</w:t>
      </w:r>
      <w:r w:rsidR="00494075" w:rsidRPr="007D6041">
        <w:rPr>
          <w:b/>
          <w:color w:val="3333FF"/>
        </w:rPr>
        <w:t>)</w:t>
      </w:r>
      <w:r w:rsidR="00494075">
        <w:t xml:space="preserve"> Extend the </w:t>
      </w:r>
      <w:r w:rsidR="00494075" w:rsidRPr="000A14D9">
        <w:t>Cloud</w:t>
      </w:r>
      <w:r w:rsidR="00F230FE" w:rsidRPr="000A14D9">
        <w:t>Sim</w:t>
      </w:r>
      <w:r w:rsidR="00494075" w:rsidRPr="000A14D9">
        <w:t xml:space="preserve"> </w:t>
      </w:r>
      <w:r w:rsidR="00494075">
        <w:t xml:space="preserve">to build the GAE </w:t>
      </w:r>
      <w:r w:rsidR="006028B8">
        <w:t>s</w:t>
      </w:r>
      <w:r w:rsidR="00494075">
        <w:t xml:space="preserve">imulation </w:t>
      </w:r>
      <w:r w:rsidR="006028B8">
        <w:t>f</w:t>
      </w:r>
      <w:r w:rsidR="00A34809">
        <w:t>orecaster; and</w:t>
      </w:r>
      <w:r w:rsidR="0085294D">
        <w:t xml:space="preserve"> </w:t>
      </w:r>
      <w:r w:rsidR="00494075" w:rsidRPr="007D6041">
        <w:rPr>
          <w:b/>
          <w:color w:val="00D05E"/>
        </w:rPr>
        <w:t>(1</w:t>
      </w:r>
      <w:r w:rsidR="000A14D9" w:rsidRPr="007D6041">
        <w:rPr>
          <w:b/>
          <w:color w:val="00D05E"/>
        </w:rPr>
        <w:t>0</w:t>
      </w:r>
      <w:r w:rsidR="00494075" w:rsidRPr="007D6041">
        <w:rPr>
          <w:b/>
          <w:color w:val="00D05E"/>
        </w:rPr>
        <w:t>)</w:t>
      </w:r>
      <w:r w:rsidR="007D6041">
        <w:t xml:space="preserve"> </w:t>
      </w:r>
      <w:r w:rsidR="00494075">
        <w:t xml:space="preserve">Re-implement the GAE Benchmark and GAE </w:t>
      </w:r>
      <w:r w:rsidR="006028B8">
        <w:t>s</w:t>
      </w:r>
      <w:r w:rsidR="00494075">
        <w:t xml:space="preserve">imulation </w:t>
      </w:r>
      <w:r w:rsidR="006028B8">
        <w:t>f</w:t>
      </w:r>
      <w:r w:rsidR="00494075">
        <w:t>orecaster in Google Non-SQL.</w:t>
      </w:r>
      <w:r>
        <w:t xml:space="preserve"> </w:t>
      </w:r>
    </w:p>
    <w:p w:rsidR="00D373D2" w:rsidRDefault="00D373D2" w:rsidP="00C25D65">
      <w:pPr>
        <w:spacing w:after="0" w:line="240" w:lineRule="auto"/>
      </w:pPr>
    </w:p>
    <w:p w:rsidR="008C3E16" w:rsidRDefault="00D373D2" w:rsidP="00C25D65">
      <w:pPr>
        <w:spacing w:after="0" w:line="240" w:lineRule="auto"/>
      </w:pPr>
      <w:r>
        <w:rPr>
          <w:noProof/>
        </w:rPr>
        <w:drawing>
          <wp:inline distT="0" distB="0" distL="0" distR="0">
            <wp:extent cx="6355871" cy="2518913"/>
            <wp:effectExtent l="19050" t="0" r="6829" b="0"/>
            <wp:docPr id="6" name="Picture 5" descr="benchsimprojectpla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simprojectplan5.gif"/>
                    <pic:cNvPicPr/>
                  </pic:nvPicPr>
                  <pic:blipFill>
                    <a:blip r:embed="rId8" cstate="print"/>
                    <a:stretch>
                      <a:fillRect/>
                    </a:stretch>
                  </pic:blipFill>
                  <pic:spPr>
                    <a:xfrm>
                      <a:off x="0" y="0"/>
                      <a:ext cx="6372832" cy="2525635"/>
                    </a:xfrm>
                    <a:prstGeom prst="rect">
                      <a:avLst/>
                    </a:prstGeom>
                  </pic:spPr>
                </pic:pic>
              </a:graphicData>
            </a:graphic>
          </wp:inline>
        </w:drawing>
      </w:r>
    </w:p>
    <w:p w:rsidR="00CF0592" w:rsidRPr="0085294D" w:rsidRDefault="00F548C9" w:rsidP="00CF0592">
      <w:pPr>
        <w:spacing w:after="0" w:line="240" w:lineRule="auto"/>
        <w:rPr>
          <w:b/>
          <w:sz w:val="20"/>
          <w:szCs w:val="20"/>
        </w:rPr>
      </w:pPr>
      <w:r>
        <w:t xml:space="preserve">                   </w:t>
      </w:r>
      <w:r w:rsidRPr="00F548C9">
        <w:rPr>
          <w:b/>
          <w:sz w:val="20"/>
          <w:szCs w:val="20"/>
        </w:rPr>
        <w:t xml:space="preserve">Figure 1 – GAE software benchmark and simulation forecaster project plan. </w:t>
      </w:r>
    </w:p>
    <w:p w:rsidR="00C25D65" w:rsidRPr="007D6041" w:rsidRDefault="00C25D65" w:rsidP="00C25D65">
      <w:pPr>
        <w:spacing w:after="0" w:line="240" w:lineRule="auto"/>
        <w:rPr>
          <w:b/>
          <w:color w:val="0070C0"/>
          <w:sz w:val="24"/>
        </w:rPr>
      </w:pPr>
      <w:r w:rsidRPr="007D6041">
        <w:rPr>
          <w:b/>
          <w:color w:val="0070C0"/>
          <w:sz w:val="24"/>
        </w:rPr>
        <w:lastRenderedPageBreak/>
        <w:t xml:space="preserve">Expected </w:t>
      </w:r>
      <w:r w:rsidR="007F48BD" w:rsidRPr="007D6041">
        <w:rPr>
          <w:b/>
          <w:color w:val="0070C0"/>
          <w:sz w:val="24"/>
        </w:rPr>
        <w:t>O</w:t>
      </w:r>
      <w:r w:rsidRPr="007D6041">
        <w:rPr>
          <w:b/>
          <w:color w:val="0070C0"/>
          <w:sz w:val="24"/>
        </w:rPr>
        <w:t>utcomes:</w:t>
      </w:r>
    </w:p>
    <w:p w:rsidR="00BB59E2" w:rsidRPr="00BB59E2" w:rsidRDefault="00453E6C" w:rsidP="00107DEB">
      <w:pPr>
        <w:spacing w:after="0" w:line="240" w:lineRule="auto"/>
      </w:pPr>
      <w:r>
        <w:t>The</w:t>
      </w:r>
      <w:r w:rsidR="00C25D65">
        <w:t xml:space="preserve"> project results </w:t>
      </w:r>
      <w:r>
        <w:t xml:space="preserve">will increase the </w:t>
      </w:r>
      <w:r w:rsidR="00B468A6">
        <w:t>information technology</w:t>
      </w:r>
      <w:r>
        <w:t xml:space="preserve"> community’</w:t>
      </w:r>
      <w:r w:rsidR="00B468A6">
        <w:t xml:space="preserve">s </w:t>
      </w:r>
      <w:r w:rsidR="007E76CE">
        <w:t>body of knowledge for estimating and predicting the performance and cost of software operating under the cloud</w:t>
      </w:r>
      <w:r>
        <w:t>.</w:t>
      </w:r>
      <w:r w:rsidR="00B468A6">
        <w:t xml:space="preserve"> </w:t>
      </w:r>
      <w:r>
        <w:t xml:space="preserve"> </w:t>
      </w:r>
      <w:r w:rsidR="00B468A6">
        <w:t xml:space="preserve">The </w:t>
      </w:r>
      <w:r w:rsidR="007E76CE">
        <w:t xml:space="preserve">main </w:t>
      </w:r>
      <w:r w:rsidR="00BB59E2" w:rsidRPr="007E76CE">
        <w:t>expected</w:t>
      </w:r>
      <w:r w:rsidR="00BB59E2">
        <w:t xml:space="preserve"> </w:t>
      </w:r>
      <w:r w:rsidR="00B468A6">
        <w:t>outcomes will consist of</w:t>
      </w:r>
      <w:r w:rsidR="00FC04EB">
        <w:t>:</w:t>
      </w:r>
    </w:p>
    <w:p w:rsidR="00BB59E2" w:rsidRPr="00107DEB" w:rsidRDefault="00BB59E2" w:rsidP="00BB59E2">
      <w:pPr>
        <w:pStyle w:val="ListParagraph"/>
        <w:numPr>
          <w:ilvl w:val="0"/>
          <w:numId w:val="23"/>
        </w:numPr>
        <w:spacing w:after="0" w:line="240" w:lineRule="auto"/>
      </w:pPr>
      <w:r w:rsidRPr="00107DEB">
        <w:t xml:space="preserve">A reusable GAE simulation forecaster tool (with </w:t>
      </w:r>
      <w:r w:rsidR="00107DEB" w:rsidRPr="00107DEB">
        <w:t xml:space="preserve">guidelines and </w:t>
      </w:r>
      <w:r w:rsidRPr="00107DEB">
        <w:t>operating instructions)</w:t>
      </w:r>
      <w:r w:rsidR="00107DEB">
        <w:t>; and</w:t>
      </w:r>
    </w:p>
    <w:p w:rsidR="00C25D65" w:rsidRDefault="00BB59E2" w:rsidP="00BB59E2">
      <w:pPr>
        <w:pStyle w:val="ListParagraph"/>
        <w:numPr>
          <w:ilvl w:val="0"/>
          <w:numId w:val="23"/>
        </w:numPr>
        <w:spacing w:after="0" w:line="240" w:lineRule="auto"/>
      </w:pPr>
      <w:r>
        <w:t>A</w:t>
      </w:r>
      <w:r w:rsidR="00B468A6">
        <w:t xml:space="preserve"> series of </w:t>
      </w:r>
      <w:r w:rsidR="00D8563E">
        <w:t xml:space="preserve">documented </w:t>
      </w:r>
      <w:r w:rsidR="00B468A6">
        <w:t xml:space="preserve">benchmark and corresponding simulation charts.  Sample </w:t>
      </w:r>
      <w:r w:rsidR="007E76CE">
        <w:t>outcome charts are shown in F</w:t>
      </w:r>
      <w:r w:rsidR="00B468A6">
        <w:t>igures 2,</w:t>
      </w:r>
      <w:r w:rsidR="00D8563E">
        <w:t xml:space="preserve"> </w:t>
      </w:r>
      <w:r w:rsidR="00B468A6">
        <w:t xml:space="preserve">3, 4 and 5 below. </w:t>
      </w:r>
    </w:p>
    <w:p w:rsidR="0085294D" w:rsidRDefault="0085294D" w:rsidP="00C25D65">
      <w:pPr>
        <w:spacing w:after="0" w:line="240" w:lineRule="auto"/>
      </w:pPr>
    </w:p>
    <w:p w:rsidR="009C710C" w:rsidRDefault="009C710C" w:rsidP="00C25D65">
      <w:pPr>
        <w:spacing w:after="0" w:line="240" w:lineRule="auto"/>
      </w:pPr>
      <w:r>
        <w:rPr>
          <w:noProof/>
        </w:rPr>
        <w:drawing>
          <wp:inline distT="0" distB="0" distL="0" distR="0">
            <wp:extent cx="2891535" cy="1849532"/>
            <wp:effectExtent l="19050" t="0" r="4065" b="0"/>
            <wp:docPr id="1" name="Picture 0" descr="throughput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oughputchart.gif"/>
                    <pic:cNvPicPr/>
                  </pic:nvPicPr>
                  <pic:blipFill>
                    <a:blip r:embed="rId9" cstate="print"/>
                    <a:stretch>
                      <a:fillRect/>
                    </a:stretch>
                  </pic:blipFill>
                  <pic:spPr>
                    <a:xfrm>
                      <a:off x="0" y="0"/>
                      <a:ext cx="2897016" cy="1853038"/>
                    </a:xfrm>
                    <a:prstGeom prst="rect">
                      <a:avLst/>
                    </a:prstGeom>
                  </pic:spPr>
                </pic:pic>
              </a:graphicData>
            </a:graphic>
          </wp:inline>
        </w:drawing>
      </w:r>
      <w:r>
        <w:rPr>
          <w:noProof/>
        </w:rPr>
        <w:drawing>
          <wp:inline distT="0" distB="0" distL="0" distR="0">
            <wp:extent cx="2939811" cy="1852770"/>
            <wp:effectExtent l="19050" t="0" r="0" b="0"/>
            <wp:docPr id="2" name="Picture 1" descr="aver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rbf.gif"/>
                    <pic:cNvPicPr/>
                  </pic:nvPicPr>
                  <pic:blipFill>
                    <a:blip r:embed="rId10" cstate="print"/>
                    <a:stretch>
                      <a:fillRect/>
                    </a:stretch>
                  </pic:blipFill>
                  <pic:spPr>
                    <a:xfrm>
                      <a:off x="0" y="0"/>
                      <a:ext cx="2936479" cy="1850670"/>
                    </a:xfrm>
                    <a:prstGeom prst="rect">
                      <a:avLst/>
                    </a:prstGeom>
                  </pic:spPr>
                </pic:pic>
              </a:graphicData>
            </a:graphic>
          </wp:inline>
        </w:drawing>
      </w:r>
    </w:p>
    <w:p w:rsidR="00F548C9" w:rsidRPr="00F548C9" w:rsidRDefault="00F548C9" w:rsidP="00C25D65">
      <w:pPr>
        <w:spacing w:after="0" w:line="240" w:lineRule="auto"/>
        <w:rPr>
          <w:b/>
          <w:sz w:val="20"/>
          <w:szCs w:val="20"/>
        </w:rPr>
      </w:pPr>
      <w:r>
        <w:rPr>
          <w:b/>
          <w:sz w:val="20"/>
          <w:szCs w:val="20"/>
        </w:rPr>
        <w:t xml:space="preserve">   </w:t>
      </w:r>
      <w:r w:rsidRPr="00F548C9">
        <w:rPr>
          <w:b/>
          <w:sz w:val="20"/>
          <w:szCs w:val="20"/>
        </w:rPr>
        <w:t xml:space="preserve">Figure 2 </w:t>
      </w:r>
      <w:r>
        <w:rPr>
          <w:b/>
          <w:sz w:val="20"/>
          <w:szCs w:val="20"/>
        </w:rPr>
        <w:t xml:space="preserve">– Benchmark throughput sample chart.              </w:t>
      </w:r>
      <w:r w:rsidRPr="00F548C9">
        <w:rPr>
          <w:b/>
          <w:sz w:val="20"/>
          <w:szCs w:val="20"/>
        </w:rPr>
        <w:t xml:space="preserve">Figure </w:t>
      </w:r>
      <w:r>
        <w:rPr>
          <w:b/>
          <w:sz w:val="20"/>
          <w:szCs w:val="20"/>
        </w:rPr>
        <w:t>3</w:t>
      </w:r>
      <w:r w:rsidRPr="00F548C9">
        <w:rPr>
          <w:b/>
          <w:sz w:val="20"/>
          <w:szCs w:val="20"/>
        </w:rPr>
        <w:t xml:space="preserve"> </w:t>
      </w:r>
      <w:r>
        <w:rPr>
          <w:b/>
          <w:sz w:val="20"/>
          <w:szCs w:val="20"/>
        </w:rPr>
        <w:t xml:space="preserve">– Benchmark business functions sample chart.   </w:t>
      </w:r>
    </w:p>
    <w:p w:rsidR="009C710C" w:rsidRDefault="009C710C" w:rsidP="005F3419">
      <w:pPr>
        <w:pStyle w:val="NoSpacing"/>
        <w:jc w:val="both"/>
        <w:rPr>
          <w:rFonts w:ascii="Times New Roman" w:hAnsi="Times New Roman" w:cs="Times New Roman"/>
          <w:sz w:val="20"/>
          <w:szCs w:val="20"/>
        </w:rPr>
      </w:pPr>
    </w:p>
    <w:p w:rsidR="009C710C" w:rsidRDefault="009C710C" w:rsidP="005F3419">
      <w:pPr>
        <w:pStyle w:val="NoSpacing"/>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892868" cy="1832768"/>
            <wp:effectExtent l="19050" t="0" r="2732" b="0"/>
            <wp:docPr id="3" name="Picture 2" descr="appcompl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complx.gif"/>
                    <pic:cNvPicPr/>
                  </pic:nvPicPr>
                  <pic:blipFill>
                    <a:blip r:embed="rId11" cstate="print"/>
                    <a:stretch>
                      <a:fillRect/>
                    </a:stretch>
                  </pic:blipFill>
                  <pic:spPr>
                    <a:xfrm>
                      <a:off x="0" y="0"/>
                      <a:ext cx="2893743" cy="1833322"/>
                    </a:xfrm>
                    <a:prstGeom prst="rect">
                      <a:avLst/>
                    </a:prstGeom>
                  </pic:spPr>
                </pic:pic>
              </a:graphicData>
            </a:graphic>
          </wp:inline>
        </w:drawing>
      </w:r>
      <w:r w:rsidR="00A530CC" w:rsidRPr="00A530CC">
        <w:rPr>
          <w:rFonts w:ascii="Times New Roman" w:hAnsi="Times New Roman" w:cs="Times New Roman"/>
          <w:sz w:val="20"/>
          <w:szCs w:val="20"/>
        </w:rPr>
        <w:t xml:space="preserve"> </w:t>
      </w:r>
      <w:r w:rsidR="00500540">
        <w:rPr>
          <w:rFonts w:ascii="Times New Roman" w:hAnsi="Times New Roman" w:cs="Times New Roman"/>
          <w:noProof/>
          <w:sz w:val="20"/>
          <w:szCs w:val="20"/>
        </w:rPr>
        <w:drawing>
          <wp:inline distT="0" distB="0" distL="0" distR="0">
            <wp:extent cx="2892868" cy="1821333"/>
            <wp:effectExtent l="19050" t="0" r="2732" b="0"/>
            <wp:docPr id="5" name="Picture 4" descr="simprocessingcost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rocessingcostchart.gif"/>
                    <pic:cNvPicPr/>
                  </pic:nvPicPr>
                  <pic:blipFill>
                    <a:blip r:embed="rId12" cstate="print"/>
                    <a:stretch>
                      <a:fillRect/>
                    </a:stretch>
                  </pic:blipFill>
                  <pic:spPr>
                    <a:xfrm>
                      <a:off x="0" y="0"/>
                      <a:ext cx="2901676" cy="1826878"/>
                    </a:xfrm>
                    <a:prstGeom prst="rect">
                      <a:avLst/>
                    </a:prstGeom>
                  </pic:spPr>
                </pic:pic>
              </a:graphicData>
            </a:graphic>
          </wp:inline>
        </w:drawing>
      </w:r>
    </w:p>
    <w:p w:rsidR="00F548C9" w:rsidRDefault="00A13DF0" w:rsidP="005F3419">
      <w:pPr>
        <w:pStyle w:val="NoSpacing"/>
        <w:jc w:val="both"/>
        <w:rPr>
          <w:b/>
          <w:sz w:val="20"/>
          <w:szCs w:val="20"/>
        </w:rPr>
      </w:pPr>
      <w:r>
        <w:rPr>
          <w:b/>
          <w:sz w:val="20"/>
          <w:szCs w:val="20"/>
        </w:rPr>
        <w:t xml:space="preserve">   </w:t>
      </w:r>
      <w:r w:rsidR="00F548C9" w:rsidRPr="00F548C9">
        <w:rPr>
          <w:b/>
          <w:sz w:val="20"/>
          <w:szCs w:val="20"/>
        </w:rPr>
        <w:t xml:space="preserve">Figure </w:t>
      </w:r>
      <w:r w:rsidR="00F548C9">
        <w:rPr>
          <w:b/>
          <w:sz w:val="20"/>
          <w:szCs w:val="20"/>
        </w:rPr>
        <w:t>4</w:t>
      </w:r>
      <w:r w:rsidR="00F548C9" w:rsidRPr="00F548C9">
        <w:rPr>
          <w:b/>
          <w:sz w:val="20"/>
          <w:szCs w:val="20"/>
        </w:rPr>
        <w:t xml:space="preserve"> </w:t>
      </w:r>
      <w:r w:rsidR="00F548C9">
        <w:rPr>
          <w:b/>
          <w:sz w:val="20"/>
          <w:szCs w:val="20"/>
        </w:rPr>
        <w:t xml:space="preserve">– Benchmark app complexity sample chart.         </w:t>
      </w:r>
      <w:r w:rsidR="00F548C9" w:rsidRPr="00F548C9">
        <w:rPr>
          <w:b/>
          <w:sz w:val="20"/>
          <w:szCs w:val="20"/>
        </w:rPr>
        <w:t>Figure</w:t>
      </w:r>
      <w:r w:rsidR="00F548C9">
        <w:rPr>
          <w:b/>
          <w:sz w:val="20"/>
          <w:szCs w:val="20"/>
        </w:rPr>
        <w:t>5</w:t>
      </w:r>
      <w:r w:rsidR="00F548C9" w:rsidRPr="00F548C9">
        <w:rPr>
          <w:b/>
          <w:sz w:val="20"/>
          <w:szCs w:val="20"/>
        </w:rPr>
        <w:t xml:space="preserve"> </w:t>
      </w:r>
      <w:r w:rsidR="00F548C9">
        <w:rPr>
          <w:b/>
          <w:sz w:val="20"/>
          <w:szCs w:val="20"/>
        </w:rPr>
        <w:t>– Simulation processing cost sample chart.</w:t>
      </w:r>
      <w:r>
        <w:rPr>
          <w:b/>
          <w:sz w:val="20"/>
          <w:szCs w:val="20"/>
        </w:rPr>
        <w:t xml:space="preserve"> </w:t>
      </w:r>
    </w:p>
    <w:p w:rsidR="005F3419" w:rsidRDefault="005F3419" w:rsidP="00C25D65">
      <w:pPr>
        <w:spacing w:after="0" w:line="240" w:lineRule="auto"/>
      </w:pPr>
    </w:p>
    <w:p w:rsidR="007E76CE" w:rsidRDefault="00B468A6" w:rsidP="00D8563E">
      <w:pPr>
        <w:spacing w:after="0" w:line="240" w:lineRule="auto"/>
      </w:pPr>
      <w:r>
        <w:t xml:space="preserve">The </w:t>
      </w:r>
      <w:r w:rsidR="00D8563E">
        <w:t>community</w:t>
      </w:r>
      <w:r w:rsidR="00BB59E2">
        <w:t xml:space="preserve"> </w:t>
      </w:r>
      <w:r w:rsidR="00BB59E2" w:rsidRPr="00107DEB">
        <w:t>(potential GAE users and the Google App Engine Provider Organization)</w:t>
      </w:r>
      <w:r w:rsidR="00BB59E2">
        <w:t xml:space="preserve"> </w:t>
      </w:r>
      <w:r w:rsidR="00107DEB">
        <w:t>is expected to benefit from this</w:t>
      </w:r>
      <w:r>
        <w:t xml:space="preserve"> </w:t>
      </w:r>
      <w:r w:rsidR="00C25D65">
        <w:t xml:space="preserve">project </w:t>
      </w:r>
      <w:r w:rsidR="00D8563E">
        <w:t>since</w:t>
      </w:r>
      <w:r w:rsidR="00107DEB">
        <w:t>,</w:t>
      </w:r>
      <w:r w:rsidR="00D8563E">
        <w:t xml:space="preserve"> it will </w:t>
      </w:r>
      <w:r>
        <w:t xml:space="preserve">extend the current GAE “Billing and </w:t>
      </w:r>
      <w:r w:rsidR="00D8563E">
        <w:t xml:space="preserve">Budgeting Resources” function </w:t>
      </w:r>
      <w:r w:rsidR="00107DEB">
        <w:t>with the capability</w:t>
      </w:r>
      <w:r w:rsidR="00D8563E">
        <w:t xml:space="preserve"> to</w:t>
      </w:r>
      <w:r>
        <w:t xml:space="preserve"> estimate </w:t>
      </w:r>
      <w:r w:rsidR="00107DEB">
        <w:t xml:space="preserve">the </w:t>
      </w:r>
      <w:r w:rsidR="00D8563E">
        <w:t>GAE software application</w:t>
      </w:r>
      <w:r>
        <w:t xml:space="preserve"> performance and operating cost</w:t>
      </w:r>
      <w:r w:rsidR="00D8563E">
        <w:t xml:space="preserve"> early in the development </w:t>
      </w:r>
      <w:r w:rsidR="00107DEB">
        <w:t xml:space="preserve">or migration </w:t>
      </w:r>
      <w:r w:rsidR="00D8563E">
        <w:t>life cycle.</w:t>
      </w:r>
      <w:r>
        <w:t xml:space="preserve"> </w:t>
      </w:r>
      <w:r w:rsidR="00D8563E">
        <w:t xml:space="preserve">The decision makers will be able to examine benchmark results and code new simulation parameters that describe </w:t>
      </w:r>
      <w:r w:rsidR="0085294D">
        <w:t>any</w:t>
      </w:r>
      <w:r w:rsidR="00D8563E">
        <w:t xml:space="preserve"> GAE application under examination. The results of the GAE </w:t>
      </w:r>
      <w:r w:rsidR="006028B8">
        <w:t>s</w:t>
      </w:r>
      <w:r w:rsidR="00D8563E">
        <w:t xml:space="preserve">imulation </w:t>
      </w:r>
      <w:r w:rsidR="006028B8">
        <w:t>f</w:t>
      </w:r>
      <w:r w:rsidR="00D8563E">
        <w:t xml:space="preserve">orecaster will show the expected performance and operating cost of </w:t>
      </w:r>
      <w:r w:rsidR="00BB59E2" w:rsidRPr="00107DEB">
        <w:t>a</w:t>
      </w:r>
      <w:r w:rsidR="00BB59E2">
        <w:t xml:space="preserve"> </w:t>
      </w:r>
      <w:r w:rsidR="00D8563E">
        <w:t xml:space="preserve">proposed GAE application. </w:t>
      </w:r>
    </w:p>
    <w:p w:rsidR="007E76CE" w:rsidRDefault="007E76CE" w:rsidP="00D8563E">
      <w:pPr>
        <w:spacing w:after="0" w:line="240" w:lineRule="auto"/>
      </w:pPr>
    </w:p>
    <w:p w:rsidR="00C25D65" w:rsidRDefault="00D8563E" w:rsidP="00D8563E">
      <w:pPr>
        <w:spacing w:after="0" w:line="240" w:lineRule="auto"/>
      </w:pPr>
      <w:r>
        <w:t xml:space="preserve"> </w:t>
      </w:r>
      <w:r w:rsidR="00800697">
        <w:t xml:space="preserve">If deemed </w:t>
      </w:r>
      <w:r w:rsidR="007E76CE">
        <w:t>sensitive</w:t>
      </w:r>
      <w:r w:rsidR="00800697">
        <w:t xml:space="preserve">, </w:t>
      </w:r>
      <w:r w:rsidR="007E76CE">
        <w:t>the data about the outcomes (performance and cost)</w:t>
      </w:r>
      <w:r w:rsidR="00800697">
        <w:t xml:space="preserve"> can be reviewed by </w:t>
      </w:r>
      <w:r w:rsidR="007E76CE">
        <w:t>Google prior to publication.</w:t>
      </w:r>
      <w:r>
        <w:t xml:space="preserve"> </w:t>
      </w:r>
    </w:p>
    <w:p w:rsidR="00C25D65" w:rsidRDefault="00C25D65" w:rsidP="00C25D65">
      <w:pPr>
        <w:spacing w:after="0" w:line="240" w:lineRule="auto"/>
      </w:pPr>
    </w:p>
    <w:p w:rsidR="00C25D65" w:rsidRPr="00107DEB" w:rsidRDefault="00C25D65" w:rsidP="00C25D65">
      <w:pPr>
        <w:spacing w:after="0" w:line="240" w:lineRule="auto"/>
        <w:rPr>
          <w:b/>
          <w:color w:val="00B0F0"/>
          <w:sz w:val="24"/>
        </w:rPr>
      </w:pPr>
      <w:r w:rsidRPr="00107DEB">
        <w:rPr>
          <w:b/>
          <w:color w:val="00B0F0"/>
          <w:sz w:val="24"/>
        </w:rPr>
        <w:t>Google Reference:</w:t>
      </w:r>
    </w:p>
    <w:p w:rsidR="00C25D65" w:rsidRDefault="00C25D65" w:rsidP="00C25D65">
      <w:pPr>
        <w:spacing w:after="0" w:line="240" w:lineRule="auto"/>
      </w:pPr>
      <w:r>
        <w:t xml:space="preserve"> </w:t>
      </w:r>
      <w:r w:rsidR="007F48BD">
        <w:t xml:space="preserve">Jennifer Phillips suggested proposal submission to this </w:t>
      </w:r>
      <w:r w:rsidR="00107DEB">
        <w:t>Google App Engine R</w:t>
      </w:r>
      <w:r w:rsidR="004434D3">
        <w:t xml:space="preserve">esearch </w:t>
      </w:r>
      <w:r w:rsidR="00107DEB">
        <w:t>A</w:t>
      </w:r>
      <w:r w:rsidR="007F48BD">
        <w:t>ward</w:t>
      </w:r>
      <w:r w:rsidR="004434D3">
        <w:t>s</w:t>
      </w:r>
      <w:r w:rsidR="00107DEB">
        <w:t xml:space="preserve"> P</w:t>
      </w:r>
      <w:r w:rsidR="007F48BD">
        <w:t xml:space="preserve">rogram. </w:t>
      </w:r>
    </w:p>
    <w:p w:rsidR="00FC130A" w:rsidRDefault="00FC130A" w:rsidP="00CF0592">
      <w:pPr>
        <w:spacing w:after="0" w:line="240" w:lineRule="auto"/>
      </w:pPr>
    </w:p>
    <w:sectPr w:rsidR="00FC130A" w:rsidSect="001F0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D95"/>
    <w:multiLevelType w:val="hybridMultilevel"/>
    <w:tmpl w:val="B57A8436"/>
    <w:lvl w:ilvl="0" w:tplc="7D7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D4B96"/>
    <w:multiLevelType w:val="hybridMultilevel"/>
    <w:tmpl w:val="D2466818"/>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7115E5"/>
    <w:multiLevelType w:val="hybridMultilevel"/>
    <w:tmpl w:val="471686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0839E6"/>
    <w:multiLevelType w:val="hybridMultilevel"/>
    <w:tmpl w:val="A09863A2"/>
    <w:lvl w:ilvl="0" w:tplc="D04A5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E03834"/>
    <w:multiLevelType w:val="hybridMultilevel"/>
    <w:tmpl w:val="DDCEEB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534BB"/>
    <w:multiLevelType w:val="hybridMultilevel"/>
    <w:tmpl w:val="4268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20EDC"/>
    <w:multiLevelType w:val="hybridMultilevel"/>
    <w:tmpl w:val="82B4A7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7D4B1D"/>
    <w:multiLevelType w:val="hybridMultilevel"/>
    <w:tmpl w:val="CEAAF1CA"/>
    <w:lvl w:ilvl="0" w:tplc="7BB69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0362B4"/>
    <w:multiLevelType w:val="hybridMultilevel"/>
    <w:tmpl w:val="EC54FCA2"/>
    <w:lvl w:ilvl="0" w:tplc="F7844EF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CA2C5B"/>
    <w:multiLevelType w:val="hybridMultilevel"/>
    <w:tmpl w:val="D00CE4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E75D6D"/>
    <w:multiLevelType w:val="hybridMultilevel"/>
    <w:tmpl w:val="EEC45B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1372BF"/>
    <w:multiLevelType w:val="hybridMultilevel"/>
    <w:tmpl w:val="B8844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7A46B5"/>
    <w:multiLevelType w:val="hybridMultilevel"/>
    <w:tmpl w:val="885C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1444A1"/>
    <w:multiLevelType w:val="hybridMultilevel"/>
    <w:tmpl w:val="2398E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06068"/>
    <w:multiLevelType w:val="hybridMultilevel"/>
    <w:tmpl w:val="885226C6"/>
    <w:lvl w:ilvl="0" w:tplc="0C488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746E5E"/>
    <w:multiLevelType w:val="hybridMultilevel"/>
    <w:tmpl w:val="C1849260"/>
    <w:lvl w:ilvl="0" w:tplc="74A66512">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AF1D58"/>
    <w:multiLevelType w:val="hybridMultilevel"/>
    <w:tmpl w:val="5E2E84B8"/>
    <w:lvl w:ilvl="0" w:tplc="1394711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B62596A"/>
    <w:multiLevelType w:val="hybridMultilevel"/>
    <w:tmpl w:val="1ACA38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6E1FA8"/>
    <w:multiLevelType w:val="hybridMultilevel"/>
    <w:tmpl w:val="4722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2031E9"/>
    <w:multiLevelType w:val="hybridMultilevel"/>
    <w:tmpl w:val="DDCEEB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4C4D2A"/>
    <w:multiLevelType w:val="hybridMultilevel"/>
    <w:tmpl w:val="17185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74EBB"/>
    <w:multiLevelType w:val="hybridMultilevel"/>
    <w:tmpl w:val="3A6CA3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877226"/>
    <w:multiLevelType w:val="hybridMultilevel"/>
    <w:tmpl w:val="7B608A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4"/>
  </w:num>
  <w:num w:numId="4">
    <w:abstractNumId w:val="22"/>
  </w:num>
  <w:num w:numId="5">
    <w:abstractNumId w:val="3"/>
  </w:num>
  <w:num w:numId="6">
    <w:abstractNumId w:val="8"/>
  </w:num>
  <w:num w:numId="7">
    <w:abstractNumId w:val="15"/>
  </w:num>
  <w:num w:numId="8">
    <w:abstractNumId w:val="1"/>
  </w:num>
  <w:num w:numId="9">
    <w:abstractNumId w:val="16"/>
  </w:num>
  <w:num w:numId="10">
    <w:abstractNumId w:val="21"/>
  </w:num>
  <w:num w:numId="11">
    <w:abstractNumId w:val="5"/>
  </w:num>
  <w:num w:numId="12">
    <w:abstractNumId w:val="13"/>
  </w:num>
  <w:num w:numId="13">
    <w:abstractNumId w:val="20"/>
  </w:num>
  <w:num w:numId="14">
    <w:abstractNumId w:val="11"/>
  </w:num>
  <w:num w:numId="15">
    <w:abstractNumId w:val="2"/>
  </w:num>
  <w:num w:numId="16">
    <w:abstractNumId w:val="17"/>
  </w:num>
  <w:num w:numId="17">
    <w:abstractNumId w:val="10"/>
  </w:num>
  <w:num w:numId="18">
    <w:abstractNumId w:val="6"/>
  </w:num>
  <w:num w:numId="19">
    <w:abstractNumId w:val="9"/>
  </w:num>
  <w:num w:numId="20">
    <w:abstractNumId w:val="12"/>
  </w:num>
  <w:num w:numId="21">
    <w:abstractNumId w:val="4"/>
  </w:num>
  <w:num w:numId="22">
    <w:abstractNumId w:val="19"/>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351F0"/>
    <w:rsid w:val="00010D94"/>
    <w:rsid w:val="0002376E"/>
    <w:rsid w:val="00025763"/>
    <w:rsid w:val="000312F7"/>
    <w:rsid w:val="00071218"/>
    <w:rsid w:val="000A14D9"/>
    <w:rsid w:val="000E172B"/>
    <w:rsid w:val="000E452D"/>
    <w:rsid w:val="000F25C1"/>
    <w:rsid w:val="00107DEB"/>
    <w:rsid w:val="00137DC8"/>
    <w:rsid w:val="00141C29"/>
    <w:rsid w:val="00142C72"/>
    <w:rsid w:val="00164DAB"/>
    <w:rsid w:val="0018043F"/>
    <w:rsid w:val="001B3941"/>
    <w:rsid w:val="001C0AF2"/>
    <w:rsid w:val="001E3686"/>
    <w:rsid w:val="001F0C40"/>
    <w:rsid w:val="002225EA"/>
    <w:rsid w:val="002351F0"/>
    <w:rsid w:val="00240394"/>
    <w:rsid w:val="0024508C"/>
    <w:rsid w:val="00253066"/>
    <w:rsid w:val="00262987"/>
    <w:rsid w:val="002A553F"/>
    <w:rsid w:val="002C409D"/>
    <w:rsid w:val="002F333B"/>
    <w:rsid w:val="002F6D49"/>
    <w:rsid w:val="00353F5B"/>
    <w:rsid w:val="003C1352"/>
    <w:rsid w:val="00403641"/>
    <w:rsid w:val="00425100"/>
    <w:rsid w:val="00436BE3"/>
    <w:rsid w:val="004434D3"/>
    <w:rsid w:val="00453E6C"/>
    <w:rsid w:val="00494075"/>
    <w:rsid w:val="0049473C"/>
    <w:rsid w:val="004A2970"/>
    <w:rsid w:val="00500540"/>
    <w:rsid w:val="00506426"/>
    <w:rsid w:val="0053357E"/>
    <w:rsid w:val="00572B42"/>
    <w:rsid w:val="00584D73"/>
    <w:rsid w:val="005900DB"/>
    <w:rsid w:val="00590AB7"/>
    <w:rsid w:val="005938E8"/>
    <w:rsid w:val="005A3657"/>
    <w:rsid w:val="005C00E8"/>
    <w:rsid w:val="005C4390"/>
    <w:rsid w:val="005C5520"/>
    <w:rsid w:val="005E13E8"/>
    <w:rsid w:val="005F3419"/>
    <w:rsid w:val="006028B8"/>
    <w:rsid w:val="0061379A"/>
    <w:rsid w:val="00634845"/>
    <w:rsid w:val="00642349"/>
    <w:rsid w:val="006520FE"/>
    <w:rsid w:val="006C0BE8"/>
    <w:rsid w:val="006C384C"/>
    <w:rsid w:val="006D088C"/>
    <w:rsid w:val="00714101"/>
    <w:rsid w:val="00757AD8"/>
    <w:rsid w:val="00766695"/>
    <w:rsid w:val="00770EDF"/>
    <w:rsid w:val="00777000"/>
    <w:rsid w:val="007902A4"/>
    <w:rsid w:val="007D6041"/>
    <w:rsid w:val="007E76CE"/>
    <w:rsid w:val="007F06B2"/>
    <w:rsid w:val="007F1A1D"/>
    <w:rsid w:val="007F48BD"/>
    <w:rsid w:val="00800697"/>
    <w:rsid w:val="00836012"/>
    <w:rsid w:val="0084326B"/>
    <w:rsid w:val="0085294D"/>
    <w:rsid w:val="008A4C58"/>
    <w:rsid w:val="008C3E16"/>
    <w:rsid w:val="00901F9F"/>
    <w:rsid w:val="00924A68"/>
    <w:rsid w:val="00997427"/>
    <w:rsid w:val="00997BD2"/>
    <w:rsid w:val="009A507C"/>
    <w:rsid w:val="009C710C"/>
    <w:rsid w:val="009F018D"/>
    <w:rsid w:val="00A13DF0"/>
    <w:rsid w:val="00A13FB7"/>
    <w:rsid w:val="00A27582"/>
    <w:rsid w:val="00A34809"/>
    <w:rsid w:val="00A403B5"/>
    <w:rsid w:val="00A530CC"/>
    <w:rsid w:val="00A65F6C"/>
    <w:rsid w:val="00A87779"/>
    <w:rsid w:val="00A94BAD"/>
    <w:rsid w:val="00AE62FA"/>
    <w:rsid w:val="00AF57AD"/>
    <w:rsid w:val="00B076EB"/>
    <w:rsid w:val="00B468A6"/>
    <w:rsid w:val="00B86F22"/>
    <w:rsid w:val="00BB59E2"/>
    <w:rsid w:val="00C0310B"/>
    <w:rsid w:val="00C25D65"/>
    <w:rsid w:val="00C35052"/>
    <w:rsid w:val="00C775FD"/>
    <w:rsid w:val="00CB0B22"/>
    <w:rsid w:val="00CD156F"/>
    <w:rsid w:val="00CD5A27"/>
    <w:rsid w:val="00CF0592"/>
    <w:rsid w:val="00D21AA9"/>
    <w:rsid w:val="00D22CDD"/>
    <w:rsid w:val="00D3018D"/>
    <w:rsid w:val="00D373D2"/>
    <w:rsid w:val="00D8563E"/>
    <w:rsid w:val="00D9160B"/>
    <w:rsid w:val="00E0429E"/>
    <w:rsid w:val="00E057D4"/>
    <w:rsid w:val="00E4591E"/>
    <w:rsid w:val="00E50487"/>
    <w:rsid w:val="00E54768"/>
    <w:rsid w:val="00E57AD1"/>
    <w:rsid w:val="00E75394"/>
    <w:rsid w:val="00E911FD"/>
    <w:rsid w:val="00EA098F"/>
    <w:rsid w:val="00ED3D36"/>
    <w:rsid w:val="00ED3FBD"/>
    <w:rsid w:val="00EF0B2B"/>
    <w:rsid w:val="00EF4CC2"/>
    <w:rsid w:val="00EF6477"/>
    <w:rsid w:val="00F230FE"/>
    <w:rsid w:val="00F548C9"/>
    <w:rsid w:val="00F5540D"/>
    <w:rsid w:val="00F55A97"/>
    <w:rsid w:val="00F679C0"/>
    <w:rsid w:val="00F73C6E"/>
    <w:rsid w:val="00FB12C4"/>
    <w:rsid w:val="00FC04EB"/>
    <w:rsid w:val="00FC1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1F0"/>
    <w:rPr>
      <w:color w:val="0000FF" w:themeColor="hyperlink"/>
      <w:u w:val="single"/>
    </w:rPr>
  </w:style>
  <w:style w:type="paragraph" w:styleId="ListParagraph">
    <w:name w:val="List Paragraph"/>
    <w:basedOn w:val="Normal"/>
    <w:uiPriority w:val="34"/>
    <w:qFormat/>
    <w:rsid w:val="002F6D49"/>
    <w:pPr>
      <w:ind w:left="720"/>
      <w:contextualSpacing/>
    </w:pPr>
  </w:style>
  <w:style w:type="paragraph" w:styleId="NoSpacing">
    <w:name w:val="No Spacing"/>
    <w:uiPriority w:val="1"/>
    <w:qFormat/>
    <w:rsid w:val="005F3419"/>
    <w:pPr>
      <w:spacing w:after="0" w:line="240" w:lineRule="auto"/>
    </w:pPr>
  </w:style>
  <w:style w:type="paragraph" w:styleId="BalloonText">
    <w:name w:val="Balloon Text"/>
    <w:basedOn w:val="Normal"/>
    <w:link w:val="BalloonTextChar"/>
    <w:uiPriority w:val="99"/>
    <w:semiHidden/>
    <w:unhideWhenUsed/>
    <w:rsid w:val="009C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0C"/>
    <w:rPr>
      <w:rFonts w:ascii="Tahoma" w:hAnsi="Tahoma" w:cs="Tahoma"/>
      <w:sz w:val="16"/>
      <w:szCs w:val="16"/>
    </w:rPr>
  </w:style>
  <w:style w:type="paragraph" w:styleId="PlainText">
    <w:name w:val="Plain Text"/>
    <w:aliases w:val="Plain Text Char1,Plain Text Char Char"/>
    <w:basedOn w:val="Normal"/>
    <w:link w:val="PlainTextChar"/>
    <w:rsid w:val="001B3941"/>
    <w:pPr>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1 Char,Plain Text Char Char Char"/>
    <w:basedOn w:val="DefaultParagraphFont"/>
    <w:link w:val="PlainText"/>
    <w:rsid w:val="001B3941"/>
    <w:rPr>
      <w:rFonts w:ascii="Courier New" w:eastAsia="Times New Roman" w:hAnsi="Courier New" w:cs="Courier New"/>
      <w:sz w:val="20"/>
      <w:szCs w:val="20"/>
    </w:rPr>
  </w:style>
  <w:style w:type="character" w:customStyle="1" w:styleId="hit">
    <w:name w:val="hit"/>
    <w:basedOn w:val="DefaultParagraphFont"/>
    <w:rsid w:val="001B39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pc.org" TargetMode="Externa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ung@utdallas.edu"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143BC-4705-434E-A45F-AD150EB4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chung</cp:lastModifiedBy>
  <cp:revision>40</cp:revision>
  <dcterms:created xsi:type="dcterms:W3CDTF">2012-05-11T01:11:00Z</dcterms:created>
  <dcterms:modified xsi:type="dcterms:W3CDTF">2012-05-11T09:36:00Z</dcterms:modified>
</cp:coreProperties>
</file>